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A6" w:rsidRDefault="00C74AA6" w:rsidP="00C74AA6">
      <w:pPr>
        <w:jc w:val="center"/>
      </w:pPr>
      <w:r>
        <w:t>Table 1: Average pH of Trials in Milk Groups</w:t>
      </w:r>
    </w:p>
    <w:tbl>
      <w:tblPr>
        <w:tblStyle w:val="TableGrid"/>
        <w:tblW w:w="0" w:type="auto"/>
        <w:tblLook w:val="04A0"/>
      </w:tblPr>
      <w:tblGrid>
        <w:gridCol w:w="1882"/>
        <w:gridCol w:w="1882"/>
        <w:gridCol w:w="1882"/>
        <w:gridCol w:w="1882"/>
        <w:gridCol w:w="1882"/>
      </w:tblGrid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B335C5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Milk Group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Days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7.04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7.04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7.04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7.04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7.15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6.06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5.57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6.88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7.16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5.69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6.24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6.04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7.13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5.59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5.99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5.86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7.01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5.53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5.65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5.76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6.96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5.41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5.35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5.67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Total Change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1.63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1.69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1.37</w:t>
            </w:r>
          </w:p>
        </w:tc>
      </w:tr>
      <w:tr w:rsidR="00C74AA6" w:rsidRPr="00C74AA6" w:rsidTr="009E2635">
        <w:trPr>
          <w:trHeight w:val="306"/>
        </w:trPr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Rate of Change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0.01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0.15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0.15</w:t>
            </w:r>
          </w:p>
        </w:tc>
        <w:tc>
          <w:tcPr>
            <w:tcW w:w="1882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0.12</w:t>
            </w:r>
          </w:p>
        </w:tc>
      </w:tr>
    </w:tbl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  <w:r>
        <w:t>Figure 1:</w:t>
      </w:r>
    </w:p>
    <w:p w:rsidR="00C74AA6" w:rsidRDefault="00C74AA6" w:rsidP="00C74AA6">
      <w:pPr>
        <w:jc w:val="center"/>
      </w:pPr>
      <w:r w:rsidRPr="00C74AA6">
        <w:drawing>
          <wp:inline distT="0" distB="0" distL="0" distR="0">
            <wp:extent cx="4838700" cy="30861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</w:p>
    <w:p w:rsidR="00C74AA6" w:rsidRDefault="00C74AA6" w:rsidP="00C74AA6">
      <w:pPr>
        <w:jc w:val="center"/>
      </w:pPr>
      <w:r>
        <w:lastRenderedPageBreak/>
        <w:t>Table 2: Average Color of Trials in Milk Groups</w:t>
      </w:r>
    </w:p>
    <w:tbl>
      <w:tblPr>
        <w:tblStyle w:val="TableGrid"/>
        <w:tblW w:w="0" w:type="auto"/>
        <w:jc w:val="center"/>
        <w:tblLook w:val="04A0"/>
      </w:tblPr>
      <w:tblGrid>
        <w:gridCol w:w="1368"/>
        <w:gridCol w:w="1368"/>
        <w:gridCol w:w="1368"/>
        <w:gridCol w:w="1368"/>
        <w:gridCol w:w="1368"/>
      </w:tblGrid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B335C5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Milk Group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Days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A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</w:tr>
      <w:tr w:rsidR="00C74AA6" w:rsidRPr="00C74AA6" w:rsidTr="00C74AA6">
        <w:trPr>
          <w:trHeight w:val="300"/>
          <w:jc w:val="center"/>
        </w:trPr>
        <w:tc>
          <w:tcPr>
            <w:tcW w:w="1368" w:type="dxa"/>
            <w:noWrap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74AA6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1368" w:type="dxa"/>
            <w:hideMark/>
          </w:tcPr>
          <w:p w:rsidR="00C74AA6" w:rsidRPr="00C74AA6" w:rsidRDefault="00C74AA6" w:rsidP="00C74AA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74AA6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</w:tr>
    </w:tbl>
    <w:p w:rsidR="00C74AA6" w:rsidRDefault="00C74AA6" w:rsidP="00C74AA6">
      <w:pPr>
        <w:jc w:val="center"/>
      </w:pPr>
    </w:p>
    <w:p w:rsidR="00C74AA6" w:rsidRDefault="00B335C5" w:rsidP="00B335C5">
      <w:pPr>
        <w:rPr>
          <w:color w:val="FFFFFF" w:themeColor="background1"/>
        </w:rPr>
      </w:pPr>
      <w:r w:rsidRPr="00B335C5">
        <w:rPr>
          <w:noProof/>
          <w:color w:val="FFFFFF" w:themeColor="background1"/>
          <w:highlight w:val="black"/>
        </w:rPr>
        <w:pict>
          <v:rect id="_x0000_s1032" style="position:absolute;margin-left:369.75pt;margin-top:3.1pt;width:54pt;height:7.15pt;z-index:251663360" fillcolor="#fc0"/>
        </w:pict>
      </w:r>
      <w:r w:rsidRPr="00B335C5">
        <w:rPr>
          <w:noProof/>
          <w:color w:val="FFFFFF" w:themeColor="background1"/>
          <w:highlight w:val="black"/>
        </w:rPr>
        <w:pict>
          <v:rect id="_x0000_s1031" style="position:absolute;margin-left:301.5pt;margin-top:3.1pt;width:54pt;height:7.15pt;z-index:251662336" fillcolor="#c1d40e"/>
        </w:pict>
      </w:r>
      <w:r w:rsidRPr="00B335C5">
        <w:rPr>
          <w:noProof/>
          <w:color w:val="FFFFFF" w:themeColor="background1"/>
          <w:highlight w:val="black"/>
        </w:rPr>
        <w:pict>
          <v:rect id="_x0000_s1030" style="position:absolute;margin-left:230.25pt;margin-top:3.1pt;width:54pt;height:7.15pt;z-index:251661312" fillcolor="#ff9"/>
        </w:pict>
      </w:r>
      <w:r w:rsidRPr="00B335C5">
        <w:rPr>
          <w:noProof/>
          <w:color w:val="FFFFFF" w:themeColor="background1"/>
          <w:highlight w:val="black"/>
        </w:rPr>
        <w:pict>
          <v:rect id="_x0000_s1029" style="position:absolute;margin-left:156.75pt;margin-top:3.1pt;width:54pt;height:7.15pt;z-index:251660288" fillcolor="#cf6"/>
        </w:pict>
      </w:r>
      <w:r w:rsidRPr="00B335C5">
        <w:rPr>
          <w:noProof/>
          <w:color w:val="FFFFFF" w:themeColor="background1"/>
          <w:highlight w:val="black"/>
        </w:rPr>
        <w:pict>
          <v:rect id="_x0000_s1028" style="position:absolute;margin-left:85.5pt;margin-top:3.1pt;width:54pt;height:7.15pt;z-index:251659264" fillcolor="#cfc"/>
        </w:pict>
      </w:r>
      <w:r w:rsidRPr="00B335C5">
        <w:rPr>
          <w:noProof/>
          <w:color w:val="FFFFFF" w:themeColor="background1"/>
          <w:highlight w:val="black"/>
        </w:rPr>
        <w:pict>
          <v:rect id="_x0000_s1027" style="position:absolute;margin-left:15.75pt;margin-top:3.1pt;width:54pt;height:7.15pt;z-index:251658240" fillcolor="#ffc"/>
        </w:pict>
      </w:r>
      <w:r w:rsidR="00C74AA6" w:rsidRPr="00B335C5">
        <w:rPr>
          <w:color w:val="FFFFFF" w:themeColor="background1"/>
          <w:highlight w:val="black"/>
        </w:rPr>
        <w:t xml:space="preserve">A= </w:t>
      </w:r>
      <w:r w:rsidR="00C74AA6" w:rsidRPr="00B335C5">
        <w:rPr>
          <w:color w:val="FFFFFF" w:themeColor="background1"/>
          <w:highlight w:val="black"/>
        </w:rPr>
        <w:tab/>
      </w:r>
      <w:r w:rsidR="00C74AA6" w:rsidRPr="00B335C5">
        <w:rPr>
          <w:color w:val="FFFFFF" w:themeColor="background1"/>
          <w:highlight w:val="black"/>
        </w:rPr>
        <w:tab/>
        <w:t>B=</w:t>
      </w:r>
      <w:r w:rsidR="00C74AA6" w:rsidRPr="00B335C5">
        <w:rPr>
          <w:color w:val="FFFFFF" w:themeColor="background1"/>
          <w:highlight w:val="black"/>
        </w:rPr>
        <w:tab/>
      </w:r>
      <w:r w:rsidR="00C74AA6" w:rsidRPr="00B335C5">
        <w:rPr>
          <w:color w:val="FFFFFF" w:themeColor="background1"/>
          <w:highlight w:val="black"/>
        </w:rPr>
        <w:tab/>
        <w:t>C=</w:t>
      </w:r>
      <w:r w:rsidR="00C74AA6" w:rsidRPr="00B335C5">
        <w:rPr>
          <w:color w:val="FFFFFF" w:themeColor="background1"/>
          <w:highlight w:val="black"/>
        </w:rPr>
        <w:tab/>
      </w:r>
      <w:r w:rsidR="00C74AA6" w:rsidRPr="00B335C5">
        <w:rPr>
          <w:color w:val="FFFFFF" w:themeColor="background1"/>
          <w:highlight w:val="black"/>
        </w:rPr>
        <w:tab/>
        <w:t>D=</w:t>
      </w:r>
      <w:r w:rsidR="00C74AA6" w:rsidRPr="00B335C5">
        <w:rPr>
          <w:color w:val="FFFFFF" w:themeColor="background1"/>
          <w:highlight w:val="black"/>
        </w:rPr>
        <w:tab/>
      </w:r>
      <w:r w:rsidR="00C74AA6" w:rsidRPr="00B335C5">
        <w:rPr>
          <w:color w:val="FFFFFF" w:themeColor="background1"/>
          <w:highlight w:val="black"/>
        </w:rPr>
        <w:tab/>
        <w:t>E=</w:t>
      </w:r>
      <w:r w:rsidR="00C74AA6" w:rsidRPr="00B335C5">
        <w:rPr>
          <w:color w:val="FFFFFF" w:themeColor="background1"/>
          <w:highlight w:val="black"/>
        </w:rPr>
        <w:tab/>
      </w:r>
      <w:r w:rsidR="00C74AA6" w:rsidRPr="00B335C5">
        <w:rPr>
          <w:color w:val="FFFFFF" w:themeColor="background1"/>
          <w:highlight w:val="black"/>
        </w:rPr>
        <w:tab/>
        <w:t>F=</w:t>
      </w:r>
      <w:r w:rsidRPr="00B335C5">
        <w:rPr>
          <w:color w:val="FFFFFF" w:themeColor="background1"/>
          <w:highlight w:val="black"/>
        </w:rPr>
        <w:tab/>
      </w:r>
      <w:r w:rsidRPr="00B335C5">
        <w:rPr>
          <w:color w:val="FFFFFF" w:themeColor="background1"/>
          <w:highlight w:val="black"/>
        </w:rPr>
        <w:tab/>
      </w:r>
    </w:p>
    <w:p w:rsidR="00B335C5" w:rsidRPr="00B335C5" w:rsidRDefault="00B335C5" w:rsidP="00B335C5"/>
    <w:p w:rsidR="00B335C5" w:rsidRDefault="00B335C5" w:rsidP="00B335C5">
      <w:pPr>
        <w:jc w:val="center"/>
      </w:pPr>
      <w:r w:rsidRPr="00B335C5">
        <w:t>Tabl</w:t>
      </w:r>
      <w:r>
        <w:t>e 3: Average Odor Rank of Trials in Milk Groups</w:t>
      </w:r>
    </w:p>
    <w:tbl>
      <w:tblPr>
        <w:tblStyle w:val="TableGrid"/>
        <w:tblW w:w="0" w:type="auto"/>
        <w:jc w:val="center"/>
        <w:tblLook w:val="04A0"/>
      </w:tblPr>
      <w:tblGrid>
        <w:gridCol w:w="1596"/>
        <w:gridCol w:w="1596"/>
        <w:gridCol w:w="1596"/>
        <w:gridCol w:w="1596"/>
        <w:gridCol w:w="1596"/>
      </w:tblGrid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Days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5.67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8.00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2.00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4.00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8.33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5.33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4.67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8.00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5.00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9.00</w:t>
            </w:r>
          </w:p>
        </w:tc>
      </w:tr>
      <w:tr w:rsidR="00B335C5" w:rsidRPr="00B335C5" w:rsidTr="00B335C5">
        <w:trPr>
          <w:trHeight w:val="300"/>
          <w:jc w:val="center"/>
        </w:trPr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335C5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7.00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  <w:tc>
          <w:tcPr>
            <w:tcW w:w="1596" w:type="dxa"/>
            <w:noWrap/>
            <w:hideMark/>
          </w:tcPr>
          <w:p w:rsidR="00B335C5" w:rsidRPr="00B335C5" w:rsidRDefault="00B335C5" w:rsidP="00B335C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10.00</w:t>
            </w:r>
          </w:p>
        </w:tc>
      </w:tr>
    </w:tbl>
    <w:p w:rsidR="00B335C5" w:rsidRDefault="00B335C5" w:rsidP="00B335C5"/>
    <w:p w:rsidR="00B335C5" w:rsidRDefault="00B335C5" w:rsidP="00B335C5">
      <w:r>
        <w:t xml:space="preserve">Figure 2: </w:t>
      </w:r>
    </w:p>
    <w:p w:rsidR="00B335C5" w:rsidRDefault="00B335C5" w:rsidP="00B335C5">
      <w:pPr>
        <w:jc w:val="center"/>
      </w:pPr>
      <w:r w:rsidRPr="00B335C5">
        <w:drawing>
          <wp:inline distT="0" distB="0" distL="0" distR="0">
            <wp:extent cx="4572000" cy="274320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335C5" w:rsidRDefault="00B335C5" w:rsidP="00B335C5">
      <w:pPr>
        <w:jc w:val="center"/>
      </w:pPr>
      <w:r>
        <w:lastRenderedPageBreak/>
        <w:t>Table 4: Day of Coagulation of Milk Groups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B335C5" w:rsidRPr="00B335C5" w:rsidTr="009E2635">
        <w:trPr>
          <w:trHeight w:val="300"/>
        </w:trPr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Milk Group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1916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</w:tr>
      <w:tr w:rsidR="00B335C5" w:rsidRPr="00B335C5" w:rsidTr="009E2635">
        <w:trPr>
          <w:trHeight w:val="300"/>
        </w:trPr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 xml:space="preserve">Day 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915" w:type="dxa"/>
            <w:noWrap/>
            <w:hideMark/>
          </w:tcPr>
          <w:p w:rsidR="00B335C5" w:rsidRPr="00B335C5" w:rsidRDefault="00B335C5" w:rsidP="009E263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916" w:type="dxa"/>
            <w:noWrap/>
            <w:hideMark/>
          </w:tcPr>
          <w:p w:rsidR="00B335C5" w:rsidRPr="00B335C5" w:rsidRDefault="00B335C5" w:rsidP="009E263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335C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</w:tbl>
    <w:p w:rsidR="00B335C5" w:rsidRDefault="00B335C5" w:rsidP="00B335C5">
      <w:pPr>
        <w:jc w:val="center"/>
      </w:pPr>
    </w:p>
    <w:p w:rsidR="00B335C5" w:rsidRPr="00B335C5" w:rsidRDefault="00B335C5" w:rsidP="00B335C5">
      <w:pPr>
        <w:jc w:val="center"/>
      </w:pPr>
    </w:p>
    <w:p w:rsidR="00B335C5" w:rsidRDefault="00B335C5" w:rsidP="00B335C5">
      <w:pPr>
        <w:jc w:val="center"/>
      </w:pPr>
    </w:p>
    <w:sectPr w:rsidR="00B335C5" w:rsidSect="008652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4AA6"/>
    <w:rsid w:val="00865211"/>
    <w:rsid w:val="00B335C5"/>
    <w:rsid w:val="00C7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ru v:ext="edit" colors="#ffc,#cfc,#cf6,#ff9,#c1d40e,#fc0"/>
      <o:colormenu v:ext="edit" fillcolor="#f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A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4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3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ilk%20Experiment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ilk%20Experiment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Average</a:t>
            </a:r>
            <a:r>
              <a:rPr lang="en-US" baseline="0"/>
              <a:t> pH of Milk Trials</a:t>
            </a:r>
            <a:endParaRPr lang="en-US"/>
          </a:p>
        </c:rich>
      </c:tx>
      <c:layout/>
    </c:title>
    <c:plotArea>
      <c:layout/>
      <c:lineChart>
        <c:grouping val="standard"/>
        <c:ser>
          <c:idx val="1"/>
          <c:order val="0"/>
          <c:tx>
            <c:strRef>
              <c:f>pH!$B$10</c:f>
              <c:strCache>
                <c:ptCount val="1"/>
                <c:pt idx="0">
                  <c:v>A</c:v>
                </c:pt>
              </c:strCache>
            </c:strRef>
          </c:tx>
          <c:cat>
            <c:numRef>
              <c:f>pH!$A$12:$A$17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pH!$B$12:$B$17</c:f>
              <c:numCache>
                <c:formatCode>0.00</c:formatCode>
                <c:ptCount val="6"/>
                <c:pt idx="0">
                  <c:v>7.0350000000000001</c:v>
                </c:pt>
                <c:pt idx="1">
                  <c:v>7.1466666666666674</c:v>
                </c:pt>
                <c:pt idx="2">
                  <c:v>7.16</c:v>
                </c:pt>
                <c:pt idx="3">
                  <c:v>7.126666666666666</c:v>
                </c:pt>
                <c:pt idx="4">
                  <c:v>7.0133333333333328</c:v>
                </c:pt>
                <c:pt idx="5">
                  <c:v>6.9633333333333338</c:v>
                </c:pt>
              </c:numCache>
            </c:numRef>
          </c:val>
        </c:ser>
        <c:ser>
          <c:idx val="2"/>
          <c:order val="1"/>
          <c:tx>
            <c:strRef>
              <c:f>pH!$C$10</c:f>
              <c:strCache>
                <c:ptCount val="1"/>
                <c:pt idx="0">
                  <c:v>B</c:v>
                </c:pt>
              </c:strCache>
            </c:strRef>
          </c:tx>
          <c:cat>
            <c:numRef>
              <c:f>pH!$A$12:$A$17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pH!$C$12:$C$17</c:f>
              <c:numCache>
                <c:formatCode>0.00</c:formatCode>
                <c:ptCount val="6"/>
                <c:pt idx="0">
                  <c:v>7.04</c:v>
                </c:pt>
                <c:pt idx="1">
                  <c:v>6.0633333333333335</c:v>
                </c:pt>
                <c:pt idx="2">
                  <c:v>5.6866666666666674</c:v>
                </c:pt>
                <c:pt idx="3">
                  <c:v>5.5866666666666669</c:v>
                </c:pt>
                <c:pt idx="4">
                  <c:v>5.5266666666666664</c:v>
                </c:pt>
                <c:pt idx="5">
                  <c:v>5.4133333333333331</c:v>
                </c:pt>
              </c:numCache>
            </c:numRef>
          </c:val>
        </c:ser>
        <c:ser>
          <c:idx val="3"/>
          <c:order val="2"/>
          <c:tx>
            <c:strRef>
              <c:f>pH!$D$10</c:f>
              <c:strCache>
                <c:ptCount val="1"/>
                <c:pt idx="0">
                  <c:v>C</c:v>
                </c:pt>
              </c:strCache>
            </c:strRef>
          </c:tx>
          <c:cat>
            <c:numRef>
              <c:f>pH!$A$12:$A$17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pH!$D$12:$D$17</c:f>
              <c:numCache>
                <c:formatCode>0.00</c:formatCode>
                <c:ptCount val="6"/>
                <c:pt idx="0">
                  <c:v>7.04</c:v>
                </c:pt>
                <c:pt idx="1">
                  <c:v>5.5733333333333333</c:v>
                </c:pt>
                <c:pt idx="2">
                  <c:v>6.2433333333333332</c:v>
                </c:pt>
                <c:pt idx="3">
                  <c:v>5.9866666666666672</c:v>
                </c:pt>
                <c:pt idx="4">
                  <c:v>5.6533333333333333</c:v>
                </c:pt>
                <c:pt idx="5">
                  <c:v>5.3500000000000005</c:v>
                </c:pt>
              </c:numCache>
            </c:numRef>
          </c:val>
        </c:ser>
        <c:ser>
          <c:idx val="4"/>
          <c:order val="3"/>
          <c:tx>
            <c:strRef>
              <c:f>pH!$E$10</c:f>
              <c:strCache>
                <c:ptCount val="1"/>
                <c:pt idx="0">
                  <c:v>D</c:v>
                </c:pt>
              </c:strCache>
            </c:strRef>
          </c:tx>
          <c:cat>
            <c:numRef>
              <c:f>pH!$A$12:$A$17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pH!$E$12:$E$17</c:f>
              <c:numCache>
                <c:formatCode>0.00</c:formatCode>
                <c:ptCount val="6"/>
                <c:pt idx="0">
                  <c:v>7.0350000000000001</c:v>
                </c:pt>
                <c:pt idx="1">
                  <c:v>6.8833333333333337</c:v>
                </c:pt>
                <c:pt idx="2">
                  <c:v>6.0366666666666662</c:v>
                </c:pt>
                <c:pt idx="3">
                  <c:v>5.8599999999999994</c:v>
                </c:pt>
                <c:pt idx="4">
                  <c:v>5.7633333333333328</c:v>
                </c:pt>
                <c:pt idx="5">
                  <c:v>5.666666666666667</c:v>
                </c:pt>
              </c:numCache>
            </c:numRef>
          </c:val>
        </c:ser>
        <c:marker val="1"/>
        <c:axId val="50296320"/>
        <c:axId val="50379008"/>
      </c:lineChart>
      <c:catAx>
        <c:axId val="50296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50379008"/>
        <c:crosses val="autoZero"/>
        <c:auto val="1"/>
        <c:lblAlgn val="ctr"/>
        <c:lblOffset val="100"/>
      </c:catAx>
      <c:valAx>
        <c:axId val="5037900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pH</a:t>
                </a:r>
              </a:p>
            </c:rich>
          </c:tx>
          <c:layout>
            <c:manualLayout>
              <c:xMode val="edge"/>
              <c:yMode val="edge"/>
              <c:x val="3.0555521111042223E-2"/>
              <c:y val="0.54936521823660922"/>
            </c:manualLayout>
          </c:layout>
        </c:title>
        <c:numFmt formatCode="0.00" sourceLinked="1"/>
        <c:majorTickMark val="none"/>
        <c:tickLblPos val="nextTo"/>
        <c:crossAx val="5029632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Average Odor</a:t>
            </a:r>
            <a:r>
              <a:rPr lang="en-US" baseline="0"/>
              <a:t> Rank of Milk Trials</a:t>
            </a:r>
            <a:endParaRPr lang="en-US"/>
          </a:p>
        </c:rich>
      </c:tx>
      <c:layout/>
    </c:title>
    <c:plotArea>
      <c:layout/>
      <c:lineChart>
        <c:grouping val="standard"/>
        <c:ser>
          <c:idx val="1"/>
          <c:order val="0"/>
          <c:tx>
            <c:strRef>
              <c:f>odor!$B$11</c:f>
              <c:strCache>
                <c:ptCount val="1"/>
                <c:pt idx="0">
                  <c:v>A</c:v>
                </c:pt>
              </c:strCache>
            </c:strRef>
          </c:tx>
          <c:cat>
            <c:numRef>
              <c:f>odor!$A$12:$A$17</c:f>
              <c:numCache>
                <c:formatCode>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odor!$B$12:$B$17</c:f>
              <c:numCache>
                <c:formatCode>0.00</c:formatCode>
                <c:ptCount val="6"/>
                <c:pt idx="0">
                  <c:v>2</c:v>
                </c:pt>
                <c:pt idx="1">
                  <c:v>2</c:v>
                </c:pt>
                <c:pt idx="2">
                  <c:v>4</c:v>
                </c:pt>
                <c:pt idx="3">
                  <c:v>4.666666666666667</c:v>
                </c:pt>
                <c:pt idx="4">
                  <c:v>5</c:v>
                </c:pt>
                <c:pt idx="5">
                  <c:v>7</c:v>
                </c:pt>
              </c:numCache>
            </c:numRef>
          </c:val>
        </c:ser>
        <c:ser>
          <c:idx val="2"/>
          <c:order val="1"/>
          <c:tx>
            <c:strRef>
              <c:f>odor!$C$11</c:f>
              <c:strCache>
                <c:ptCount val="1"/>
                <c:pt idx="0">
                  <c:v>B</c:v>
                </c:pt>
              </c:strCache>
            </c:strRef>
          </c:tx>
          <c:cat>
            <c:numRef>
              <c:f>odor!$A$12:$A$17</c:f>
              <c:numCache>
                <c:formatCode>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odor!$C$12:$C$17</c:f>
              <c:numCache>
                <c:formatCode>0.00</c:formatCode>
                <c:ptCount val="6"/>
                <c:pt idx="0">
                  <c:v>2</c:v>
                </c:pt>
                <c:pt idx="1">
                  <c:v>5.666666666666667</c:v>
                </c:pt>
                <c:pt idx="2">
                  <c:v>8.3333333333333339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</c:numCache>
            </c:numRef>
          </c:val>
        </c:ser>
        <c:ser>
          <c:idx val="3"/>
          <c:order val="2"/>
          <c:tx>
            <c:strRef>
              <c:f>odor!$D$11</c:f>
              <c:strCache>
                <c:ptCount val="1"/>
                <c:pt idx="0">
                  <c:v>C</c:v>
                </c:pt>
              </c:strCache>
            </c:strRef>
          </c:tx>
          <c:cat>
            <c:numRef>
              <c:f>odor!$A$12:$A$17</c:f>
              <c:numCache>
                <c:formatCode>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odor!$D$12:$D$17</c:f>
              <c:numCache>
                <c:formatCode>0.00</c:formatCode>
                <c:ptCount val="6"/>
                <c:pt idx="0">
                  <c:v>2</c:v>
                </c:pt>
                <c:pt idx="1">
                  <c:v>8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</c:numCache>
            </c:numRef>
          </c:val>
        </c:ser>
        <c:ser>
          <c:idx val="4"/>
          <c:order val="3"/>
          <c:tx>
            <c:strRef>
              <c:f>odor!$E$11</c:f>
              <c:strCache>
                <c:ptCount val="1"/>
                <c:pt idx="0">
                  <c:v>D</c:v>
                </c:pt>
              </c:strCache>
            </c:strRef>
          </c:tx>
          <c:cat>
            <c:numRef>
              <c:f>odor!$A$12:$A$17</c:f>
              <c:numCache>
                <c:formatCode>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7</c:v>
                </c:pt>
                <c:pt idx="4">
                  <c:v>9</c:v>
                </c:pt>
                <c:pt idx="5">
                  <c:v>11</c:v>
                </c:pt>
              </c:numCache>
            </c:numRef>
          </c:cat>
          <c:val>
            <c:numRef>
              <c:f>odor!$E$12:$E$17</c:f>
              <c:numCache>
                <c:formatCode>0.00</c:formatCode>
                <c:ptCount val="6"/>
                <c:pt idx="0">
                  <c:v>2</c:v>
                </c:pt>
                <c:pt idx="1">
                  <c:v>2</c:v>
                </c:pt>
                <c:pt idx="2">
                  <c:v>5.333333333333333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val>
        </c:ser>
        <c:marker val="1"/>
        <c:axId val="115669632"/>
        <c:axId val="115951872"/>
      </c:lineChart>
      <c:catAx>
        <c:axId val="115669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</a:t>
                </a:r>
              </a:p>
            </c:rich>
          </c:tx>
          <c:layout/>
        </c:title>
        <c:numFmt formatCode="0" sourceLinked="1"/>
        <c:majorTickMark val="none"/>
        <c:tickLblPos val="nextTo"/>
        <c:crossAx val="115951872"/>
        <c:crosses val="autoZero"/>
        <c:auto val="1"/>
        <c:lblAlgn val="ctr"/>
        <c:lblOffset val="100"/>
      </c:catAx>
      <c:valAx>
        <c:axId val="11595187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Odor</a:t>
                </a:r>
                <a:r>
                  <a:rPr lang="en-US" baseline="0"/>
                  <a:t> Rank</a:t>
                </a:r>
                <a:endParaRPr lang="en-US"/>
              </a:p>
            </c:rich>
          </c:tx>
          <c:layout/>
        </c:title>
        <c:numFmt formatCode="0.00" sourceLinked="1"/>
        <c:majorTickMark val="none"/>
        <c:tickLblPos val="nextTo"/>
        <c:crossAx val="11566963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Milner Library, Illinois State University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Milner Lab User</dc:creator>
  <cp:lastModifiedBy>Milner Lab User</cp:lastModifiedBy>
  <cp:revision>1</cp:revision>
  <dcterms:created xsi:type="dcterms:W3CDTF">2010-11-02T22:12:00Z</dcterms:created>
  <dcterms:modified xsi:type="dcterms:W3CDTF">2010-11-02T22:28:00Z</dcterms:modified>
</cp:coreProperties>
</file>